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FDAC">
      <w:pPr>
        <w:spacing w:line="420" w:lineRule="auto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  <w14:ligatures w14:val="none"/>
        </w:rPr>
        <w:t>附件3</w:t>
      </w:r>
    </w:p>
    <w:p w14:paraId="3ABF03D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  <w14:ligatures w14:val="none"/>
        </w:rPr>
        <w:t>检测服务要求</w:t>
      </w:r>
    </w:p>
    <w:p w14:paraId="17687827">
      <w:pPr>
        <w:spacing w:line="560" w:lineRule="exact"/>
        <w:jc w:val="center"/>
        <w:rPr>
          <w:rFonts w:hint="default" w:ascii="方正小标宋_GBK" w:hAnsi="Arial" w:eastAsia="方正小标宋_GBK" w:cs="Arial"/>
          <w:bCs/>
          <w:sz w:val="44"/>
          <w:szCs w:val="44"/>
          <w:lang w:val="en-US" w:eastAsia="zh-CN"/>
          <w14:ligatures w14:val="none"/>
        </w:rPr>
      </w:pPr>
    </w:p>
    <w:p w14:paraId="01CBC5A7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default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一、检测目的</w:t>
      </w:r>
    </w:p>
    <w:p w14:paraId="27D2AC3D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本次需要针对节能改造路段进行照明质量检测。</w:t>
      </w:r>
    </w:p>
    <w:p w14:paraId="333418A6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节能改造范围共涉及50余条市政道路，总体抽选17条道路进行检测。抽选节能灯具改造数量较多（超过100盏）的快速路、主干路进行照明质量全项检测（包括路面平均照度、照度均匀度、环境比、平均亮度、亮度总均匀度、亮度纵向均匀度、阈值增量、色温、显色指数、灯杆电参数、系统电参数等），抽选节能灯具改造数量较多（超过100盏）的次干路、支路等区域进行专项检测（包括路面平均照度、照度均匀度、环境比、色温、显色指数、灯杆电参数、系统电参数等），输出专项检测报告。</w:t>
      </w:r>
    </w:p>
    <w:p w14:paraId="3507F844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上述照明质量检测过程及成果资料，应综合考虑和排查光干扰、光污染类影响因素、参照参数等。</w:t>
      </w:r>
    </w:p>
    <w:p w14:paraId="6640EDF3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同时，需要服务单位提供专业减碳核算分析报告等成果资料，并为后续节能改造计划提供更为专业可行的建议和改善方向。</w:t>
      </w:r>
    </w:p>
    <w:p w14:paraId="453E75A7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二、执行标准</w:t>
      </w:r>
    </w:p>
    <w:p w14:paraId="08345C1E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《照明测量方法》GB/T5700-2023</w:t>
      </w:r>
    </w:p>
    <w:p w14:paraId="7FC511D3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《城市道路照明设计标准》CJJ45-2015</w:t>
      </w:r>
    </w:p>
    <w:p w14:paraId="144AB1CA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《光源显色性评价方法》GB/T 5702-2019</w:t>
      </w:r>
    </w:p>
    <w:p w14:paraId="251CED49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三、布点方案设计</w:t>
      </w:r>
    </w:p>
    <w:p w14:paraId="372E23F5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（一）照度</w:t>
      </w:r>
    </w:p>
    <w:p w14:paraId="548EFD6C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1.测量范围</w:t>
      </w:r>
    </w:p>
    <w:p w14:paraId="0C9CF7EC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取标准路段中道路纵向为同一侧两根灯杆之间的区域，取二分之一路宽。</w:t>
      </w:r>
    </w:p>
    <w:p w14:paraId="1D463DDD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2.布点方法</w:t>
      </w:r>
    </w:p>
    <w:p w14:paraId="78DF655B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将测量路段划分为若干大小相等的矩形网格。沿道路纵向将间距十等分；将每条车道三等分，测点高度应为路面。</w:t>
      </w:r>
    </w:p>
    <w:p w14:paraId="5EE419FE">
      <w:pPr>
        <w:pStyle w:val="2"/>
        <w:rPr>
          <w:rFonts w:hint="eastAsia"/>
        </w:rPr>
      </w:pPr>
      <w:r>
        <w:rPr>
          <w14:ligatures w14:val="standardContextual"/>
        </w:rPr>
        <w:drawing>
          <wp:inline distT="0" distB="0" distL="0" distR="0">
            <wp:extent cx="5387975" cy="1978660"/>
            <wp:effectExtent l="0" t="0" r="9525" b="2540"/>
            <wp:docPr id="788199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9998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0974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9A487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（二）亮度</w:t>
      </w:r>
    </w:p>
    <w:p w14:paraId="428D11B5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1.测量范围</w:t>
      </w:r>
    </w:p>
    <w:p w14:paraId="08F73509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在道路纵向应为从一根灯杆起100m距离以内的区域，至少应包括同一侧两根灯杆之间的区域。在道路横向应为整条路宽。</w:t>
      </w:r>
    </w:p>
    <w:p w14:paraId="74D6FB06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2.布点方法</w:t>
      </w:r>
    </w:p>
    <w:p w14:paraId="47A08B0A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沿道路纵向将间距10等分；将每条车道3等分。</w:t>
      </w:r>
    </w:p>
    <w:p w14:paraId="6F4DA1C9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3.亮度测量观测点</w:t>
      </w:r>
    </w:p>
    <w:p w14:paraId="519E18D5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亮度计的观测点高度为距路面1.5m。观测点的纵向位置为距第一排测量点60m，纵向测量长度为10m；横向位置：对于平均亮度和亮度均匀度的测量，应位于观测方向路右侧路缘内侧四分之一路宽处，对于亮度纵向均匀度的测量，应位于每条车道的中心线上。（见下图）</w:t>
      </w:r>
    </w:p>
    <w:p w14:paraId="77BC9743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294005</wp:posOffset>
            </wp:positionH>
            <wp:positionV relativeFrom="paragraph">
              <wp:posOffset>137160</wp:posOffset>
            </wp:positionV>
            <wp:extent cx="4660900" cy="1772285"/>
            <wp:effectExtent l="0" t="0" r="0" b="5715"/>
            <wp:wrapSquare wrapText="bothSides"/>
            <wp:docPr id="8721594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59445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平均亮度按标准中的公式计算。</w:t>
      </w:r>
    </w:p>
    <w:p w14:paraId="4A31C389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（三）色温和显色指数</w:t>
      </w:r>
    </w:p>
    <w:p w14:paraId="0120813D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当场内对色温和显色指数有要求时，可对其进行测试，同一测量路段的显色指数和色温测点不应少于9个。</w:t>
      </w:r>
    </w:p>
    <w:p w14:paraId="53FCD3E0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（四）阈值增量</w:t>
      </w:r>
    </w:p>
    <w:p w14:paraId="123E1B51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通过测量路灯在眼睛视线方向的照度，计算等效光幕亮度，测量路面平均亮度，并根据标准中公式计算阈值增量TI。</w:t>
      </w:r>
    </w:p>
    <w:p w14:paraId="41EDCC48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（五）相关电参数</w:t>
      </w:r>
    </w:p>
    <w:p w14:paraId="7CC23CDC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1.单个路灯的电气参数，如工作电流、输入功率、功率因数等；</w:t>
      </w:r>
    </w:p>
    <w:p w14:paraId="1F86E67C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2.照明系统的电气参数，如电源电压、工作电流、系统功率、功率因数等。测量宜采用有记忆功能的数字式电气测量仪表。</w:t>
      </w:r>
    </w:p>
    <w:p w14:paraId="0FAF8065">
      <w:pPr>
        <w:widowControl w:val="0"/>
        <w:kinsoku/>
        <w:topLinePunct/>
        <w:spacing w:before="72" w:line="560" w:lineRule="exact"/>
        <w:ind w:right="420" w:firstLine="648" w:firstLineChars="200"/>
        <w:contextualSpacing/>
        <w:jc w:val="both"/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</w:pPr>
      <w:r>
        <w:rPr>
          <w:rFonts w:hint="eastAsia" w:ascii="楷体_GB2312" w:hAnsi="宋体" w:eastAsia="楷体_GB2312" w:cs="宋体"/>
          <w:spacing w:val="2"/>
          <w:sz w:val="32"/>
          <w:szCs w:val="32"/>
          <w:highlight w:val="none"/>
          <w:lang w:val="en-US" w:eastAsia="zh-CN"/>
          <w14:ligatures w14:val="none"/>
        </w:rPr>
        <w:t>（六）照明功率密度及照明能耗</w:t>
      </w:r>
    </w:p>
    <w:p w14:paraId="4B82DC44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在道路实际运行条件下及不同的控制模式下，测量路段的照明功率瞬时值以及单位时间内的电度消耗值。照明功率密度的测量区域应与照度测量区域相对应，并按标准中给出的公式进行计算。</w:t>
      </w:r>
    </w:p>
    <w:p w14:paraId="61A58CA4">
      <w:pPr>
        <w:widowControl w:val="0"/>
        <w:kinsoku/>
        <w:topLinePunct/>
        <w:spacing w:before="112" w:line="560" w:lineRule="exact"/>
        <w:ind w:firstLine="628" w:firstLineChars="200"/>
        <w:contextualSpacing/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微软雅黑"/>
          <w:spacing w:val="-3"/>
          <w:sz w:val="32"/>
          <w:szCs w:val="32"/>
          <w:lang w:val="en-US" w:eastAsia="zh-CN"/>
          <w14:ligatures w14:val="none"/>
        </w:rPr>
        <w:t>四、判定标准</w:t>
      </w:r>
    </w:p>
    <w:p w14:paraId="357C8983">
      <w:pPr>
        <w:widowControl w:val="0"/>
        <w:kinsoku/>
        <w:topLinePunct/>
        <w:spacing w:before="72" w:line="560" w:lineRule="exact"/>
        <w:ind w:right="420" w:firstLine="652" w:firstLineChars="200"/>
        <w:contextualSpacing/>
        <w:jc w:val="both"/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1424940</wp:posOffset>
            </wp:positionV>
            <wp:extent cx="4978400" cy="4657725"/>
            <wp:effectExtent l="0" t="0" r="0" b="3175"/>
            <wp:wrapTopAndBottom/>
            <wp:docPr id="1274450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5014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pacing w:val="3"/>
          <w:sz w:val="32"/>
          <w:szCs w:val="32"/>
          <w:lang w:val="en-US" w:eastAsia="zh-CN"/>
          <w14:ligatures w14:val="none"/>
        </w:rPr>
        <w:t>应用照度计、亮度计、光谱仪、眩光测试仪、电能质量分析仪测试路面照度、路面亮度、环境比、阈值增量、色温、显色指数、照明功率密度等参数，应符合下表规定：</w:t>
      </w:r>
    </w:p>
    <w:tbl>
      <w:tblPr>
        <w:tblStyle w:val="8"/>
        <w:tblpPr w:leftFromText="180" w:rightFromText="180" w:vertAnchor="text" w:horzAnchor="page" w:tblpXSpec="center" w:tblpY="558"/>
        <w:tblOverlap w:val="never"/>
        <w:tblW w:w="77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953"/>
        <w:gridCol w:w="2233"/>
        <w:gridCol w:w="1510"/>
      </w:tblGrid>
      <w:tr w14:paraId="4B9EF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06E0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道路级别</w:t>
            </w:r>
          </w:p>
        </w:tc>
        <w:tc>
          <w:tcPr>
            <w:tcW w:w="195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DEA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车道数（条）</w:t>
            </w:r>
          </w:p>
        </w:tc>
        <w:tc>
          <w:tcPr>
            <w:tcW w:w="22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B33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照明功率（LPD)限制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BD58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对应照度值（lx）</w:t>
            </w:r>
          </w:p>
        </w:tc>
      </w:tr>
      <w:tr w14:paraId="12B98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40B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快速主干路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A554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96B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≤1.00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B09B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14:paraId="56BC4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82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EF0F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＜6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48FD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≤1.20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3CE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A105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657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82AF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4E7C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≤0.70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7E61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14:paraId="2AEB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67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D84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＜6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7B8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≤0.85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117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E1F6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4815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次干路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CFA6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B2DB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≤0.80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E668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14:paraId="0A203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391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DA92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＜4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F081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≤0.90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7F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9BD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065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CA1D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907D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≤0.60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A4AC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14:paraId="603A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B77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F81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＜4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FFCC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≤0.70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94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6F1D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6C9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008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EAF6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≤0.50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2AC7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14:paraId="4C8D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57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E322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＜2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5164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≤0.60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9BD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CAFA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7D4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283B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≥2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C0D4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≤0.40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B62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14:paraId="1B30D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B6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265A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＜2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6E60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≤0.45</w:t>
            </w:r>
          </w:p>
        </w:tc>
        <w:tc>
          <w:tcPr>
            <w:tcW w:w="151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74F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921CB3A">
      <w:pPr>
        <w:rPr>
          <w:rFonts w:hint="eastAsia" w:ascii="微软雅黑" w:hAnsi="微软雅黑" w:eastAsia="微软雅黑" w:cs="微软雅黑"/>
          <w:i w:val="0"/>
          <w:iCs w:val="0"/>
          <w:caps w:val="0"/>
          <w:color w:val="767676"/>
          <w:spacing w:val="0"/>
          <w:sz w:val="27"/>
          <w:szCs w:val="27"/>
          <w:highlight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1A577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53FB71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10E7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M1ZWEwMTgwZGZmYzYxZWI1OGM0NmZjNmVlZjkifQ=="/>
  </w:docVars>
  <w:rsids>
    <w:rsidRoot w:val="00000000"/>
    <w:rsid w:val="04A3012C"/>
    <w:rsid w:val="07680A0A"/>
    <w:rsid w:val="0E1009CE"/>
    <w:rsid w:val="111D6DCF"/>
    <w:rsid w:val="13651BF9"/>
    <w:rsid w:val="17257E5E"/>
    <w:rsid w:val="19335E01"/>
    <w:rsid w:val="1BDE34C7"/>
    <w:rsid w:val="1DD306E4"/>
    <w:rsid w:val="1FCE373D"/>
    <w:rsid w:val="215E440C"/>
    <w:rsid w:val="234D752F"/>
    <w:rsid w:val="28977536"/>
    <w:rsid w:val="2923420F"/>
    <w:rsid w:val="2BA62AAE"/>
    <w:rsid w:val="404339FD"/>
    <w:rsid w:val="40FB7F67"/>
    <w:rsid w:val="441D7D61"/>
    <w:rsid w:val="48D43D0B"/>
    <w:rsid w:val="4F932A9A"/>
    <w:rsid w:val="50103FB4"/>
    <w:rsid w:val="61C3168D"/>
    <w:rsid w:val="65973609"/>
    <w:rsid w:val="66EB050D"/>
    <w:rsid w:val="6AA95C6D"/>
    <w:rsid w:val="6B6472CC"/>
    <w:rsid w:val="6DE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5317</Words>
  <Characters>5673</Characters>
  <Lines>0</Lines>
  <Paragraphs>0</Paragraphs>
  <TotalTime>4</TotalTime>
  <ScaleCrop>false</ScaleCrop>
  <LinksUpToDate>false</LinksUpToDate>
  <CharactersWithSpaces>5769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2024-08-11T07:41:00Z</dcterms:created>
  <dc:creator>XJ</dc:creator>
  <cp:lastModifiedBy>Mr.X</cp:lastModifiedBy>
  <dcterms:modified xsi:type="dcterms:W3CDTF">2025-07-28T00:45:42Z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A1EF9B61F2C74A4C96DA546C8A976F5F_13</vt:lpwstr>
  </property>
  <property fmtid="{D5CDD505-2E9C-101B-9397-08002B2CF9AE}" pid="4" name="KSOTemplateDocerSaveRecord">
    <vt:lpwstr>eyJoZGlkIjoiZmRiNzM1ZWEwMTgwZGZmYzYxZWI1OGM0NmZjNmVlZjkiLCJ1c2VySWQiOiI1MjM4NDIyODkifQ==</vt:lpwstr>
  </property>
</Properties>
</file>